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555555"/>
          <w:sz w:val="16"/>
          <w:szCs w:val="16"/>
        </w:rPr>
        <w:t xml:space="preserve">THE HEALTHCARE AI INSTITUTE · OPEN STANDARD · CC BY 4.0</w:t>
      </w:r>
    </w:p>
    <w:p>
      <w:pPr>
        <w:pStyle w:val="Title"/>
        <w:spacing w:after="40"/>
      </w:pPr>
      <w:r>
        <w:rPr>
          <w:color w:val="1F3A5F"/>
        </w:rPr>
        <w:t xml:space="preserve">Model Governance Rider (v1.0)</w:t>
      </w:r>
    </w:p>
    <w:p>
      <w:pPr>
        <w:spacing w:after="120"/>
      </w:pPr>
      <w:r>
        <w:t xml:space="preserve">This Rider is incorporated into the Agreement between the Customer and the Vendor for the artificial-intelligence-enabled product or service identified in the Agreement (the "System").</w:t>
      </w:r>
    </w:p>
    <w:p>
      <w:pPr>
        <w:pStyle w:val="ListParagraph"/>
        <w:numPr>
          <w:ilvl w:val="0"/>
          <w:numId w:val="2"/>
        </w:numPr>
        <w:spacing w:after="100"/>
      </w:pPr>
      <w:r>
        <w:rPr>
          <w:b/>
          <w:bCs/>
        </w:rPr>
        <w:t xml:space="preserve">Governance Record. </w:t>
      </w:r>
      <w:r>
        <w:t xml:space="preserve">Within thirty (30) days of the Effective Date, and quarterly thereafter, the Vendor shall deliver to the Customer a Model Governance Record for the System conforming to the Model Governance Record open specification, version 0.1 or later (https://healthcareaiops.com/standards/mgr/), as a machine-readable JSON document.</w:t>
      </w:r>
    </w:p>
    <w:p>
      <w:pPr>
        <w:pStyle w:val="ListParagraph"/>
        <w:numPr>
          <w:ilvl w:val="0"/>
          <w:numId w:val="2"/>
        </w:numPr>
        <w:spacing w:after="100"/>
      </w:pPr>
      <w:r>
        <w:rPr>
          <w:b/>
          <w:bCs/>
        </w:rPr>
        <w:t xml:space="preserve">Sealing and Verification. </w:t>
      </w:r>
      <w:r>
        <w:t xml:space="preserve">Each delivered record shall be sealed under the specification’s integrity chain such that the Customer can independently verify, using any conforming implementation of the specification, that the record has not been altered since sealing. Delivery of a record that fails independent verification is non-delivery.</w:t>
      </w:r>
    </w:p>
    <w:p>
      <w:pPr>
        <w:pStyle w:val="ListParagraph"/>
        <w:numPr>
          <w:ilvl w:val="0"/>
          <w:numId w:val="2"/>
        </w:numPr>
        <w:spacing w:after="100"/>
      </w:pPr>
      <w:r>
        <w:rPr>
          <w:b/>
          <w:bCs/>
        </w:rPr>
        <w:t xml:space="preserve">Content. </w:t>
      </w:r>
      <w:r>
        <w:t xml:space="preserve">Each record shall state, at minimum: the accountable owner of the System within the Vendor’s organization; the approval baseline and its metrics; dated monitoring entries at no less than quarterly cadence, including subgroup results where the Customer’s population is stratified; and any incident affecting the System’s clinical use, with resolution.</w:t>
      </w:r>
    </w:p>
    <w:p>
      <w:pPr>
        <w:pStyle w:val="ListParagraph"/>
        <w:numPr>
          <w:ilvl w:val="0"/>
          <w:numId w:val="2"/>
        </w:numPr>
        <w:spacing w:after="100"/>
      </w:pPr>
      <w:r>
        <w:rPr>
          <w:b/>
          <w:bCs/>
        </w:rPr>
        <w:t xml:space="preserve">Material Changes. </w:t>
      </w:r>
      <w:r>
        <w:t xml:space="preserve">The Vendor shall deliver an updated sealed record within fifteen (15) days of any model version change, retraining event, or modification affecting the System’s intended use, in addition to the quarterly cadence.</w:t>
      </w:r>
    </w:p>
    <w:p>
      <w:pPr>
        <w:pStyle w:val="ListParagraph"/>
        <w:numPr>
          <w:ilvl w:val="0"/>
          <w:numId w:val="2"/>
        </w:numPr>
        <w:spacing w:after="100"/>
      </w:pPr>
      <w:r>
        <w:rPr>
          <w:b/>
          <w:bCs/>
        </w:rPr>
        <w:t xml:space="preserve">No Substitute for Regulatory Obligations. </w:t>
      </w:r>
      <w:r>
        <w:t xml:space="preserve">Nothing in this Rider limits or replaces the Vendor’s obligations under applicable law or regulation, including FDA requirements where applicable.</w:t>
      </w:r>
    </w:p>
    <w:p>
      <w:pPr>
        <w:pStyle w:val="ListParagraph"/>
        <w:numPr>
          <w:ilvl w:val="0"/>
          <w:numId w:val="2"/>
        </w:numPr>
        <w:spacing w:after="100"/>
      </w:pPr>
      <w:r>
        <w:rPr>
          <w:b/>
          <w:bCs/>
        </w:rPr>
        <w:t xml:space="preserve">Remedy. </w:t>
      </w:r>
      <w:r>
        <w:t xml:space="preserve">Failure to deliver a conforming, verifiable record within the periods above, uncured for thirty (30) days after written notice, is a material breach of the Agreement.</w:t>
      </w:r>
    </w:p>
    <w:p>
      <w:pPr>
        <w:spacing w:before="220"/>
      </w:pPr>
      <w:r>
        <w:rPr>
          <w:i/>
          <w:iCs/>
          <w:color w:val="555555"/>
          <w:sz w:val="18"/>
          <w:szCs w:val="18"/>
        </w:rPr>
        <w:t xml:space="preserve">Licensed CC BY 4.0 by The Healthcare AI Institute. This is contract language for adaptation by the parties and their counsel; it is not legal advice, and no attorney-client relationship is created by its use. Verify a record at healthcareaiops.com/standards/mgr-verify/.</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20" w:hanging="300"/>
      </w:pPr>
    </w:lvl>
  </w:abstractNum>
  <w:abstractNum w:abstractNumId="3"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2026-09-15T18:38:05.310Z</dcterms:created>
  <dcterms:modified xsi:type="dcterms:W3CDTF">2026-09-15T18:38:05.310Z</dcterms:modified>
</cp:coreProperties>
</file>

<file path=docProps/custom.xml><?xml version="1.0" encoding="utf-8"?>
<Properties xmlns="http://schemas.openxmlformats.org/officeDocument/2006/custom-properties" xmlns:vt="http://schemas.openxmlformats.org/officeDocument/2006/docPropsVTypes"/>
</file>