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555555"/>
          <w:sz w:val="16"/>
          <w:szCs w:val="16"/>
        </w:rPr>
        <w:t xml:space="preserve">THE HEALTHCARE AI INSTITUTE · FREE TEMPLATE · CC BY 4.0</w:t>
      </w:r>
    </w:p>
    <w:p>
      <w:pPr>
        <w:pStyle w:val="Title"/>
        <w:spacing w:after="40"/>
      </w:pPr>
      <w:r>
        <w:rPr>
          <w:color w:val="1F3A5F"/>
        </w:rPr>
        <w:t xml:space="preserve">AI Vendor Contract — a checklist for in-house counsel</w:t>
      </w:r>
    </w:p>
    <w:p>
      <w:pPr>
        <w:spacing w:after="120"/>
      </w:pPr>
      <w:r>
        <w:t xml:space="preserve">Five contract terms that turn “we trust the vendor” into a dated, independently verifiable record for your AI governance file. Each maps to a clause in the free Model Governance Rider you can paste into any AI vendor agreement.</w:t>
      </w:r>
    </w:p>
    <w:p>
      <w:pPr>
        <w:pStyle w:val="Heading2"/>
        <w:spacing w:after="110" w:before="220"/>
      </w:pPr>
      <w:r>
        <w:rPr>
          <w:color w:val="1F3A5F"/>
        </w:rPr>
        <w:t xml:space="preserve">Why this matters</w:t>
      </w:r>
    </w:p>
    <w:p>
      <w:pPr>
        <w:spacing w:after="120"/>
      </w:pPr>
      <w:r>
        <w:t xml:space="preserve">A committee charter is not evidence. Post-deployment model drift is invisible without monitoring, and by the time a surveyor or a plaintiff’s expert asks “what did you know, and when,” the record cannot be created retroactively. These terms make the vendor produce the dated monitoring record you will want in the file — at contracting, and on a cadence — without your team having to build or run any monitoring itself.</w:t>
      </w:r>
    </w:p>
    <w:p>
      <w:pPr>
        <w:pStyle w:val="Heading2"/>
        <w:spacing w:after="110" w:before="220"/>
      </w:pPr>
      <w:r>
        <w:rPr>
          <w:color w:val="1F3A5F"/>
        </w:rPr>
        <w:t xml:space="preserve">The five terms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Governance record on a cadence. </w:t>
      </w:r>
      <w:r>
        <w:t xml:space="preserve">Require a machine-readable Model Governance Record (MGR) at signing and quarterly thereafter — not a slide deck, a structured record.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Independent verifiability. </w:t>
      </w:r>
      <w:r>
        <w:t xml:space="preserve">The record must be sealed so your team can verify it was not altered, using any conforming tool. A record that fails verification counts as non-delivery.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Minimum contents. </w:t>
      </w:r>
      <w:r>
        <w:t xml:space="preserve">Accountable owner inside the vendor; the approval baseline and its metrics; dated monitoring entries (including subgroup results for your patient population); and any clinical-use incident with its resolution.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Material-change trigger. </w:t>
      </w:r>
      <w:r>
        <w:t xml:space="preserve">An updated sealed record within fifteen (15) days of any model version change, retraining, or change to intended use — the moments drift is most likely.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/>
          <w:bCs/>
        </w:rPr>
        <w:t xml:space="preserve">Remedy with teeth. </w:t>
      </w:r>
      <w:r>
        <w:t xml:space="preserve">Failure to deliver a conforming, verifiable record — uncured thirty (30) days after notice — is a material breach.</w:t>
      </w:r>
    </w:p>
    <w:p>
      <w:pPr>
        <w:pStyle w:val="Heading2"/>
        <w:spacing w:after="110" w:before="220"/>
      </w:pPr>
      <w:r>
        <w:rPr>
          <w:color w:val="1F3A5F"/>
        </w:rPr>
        <w:t xml:space="preserve">How to use it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Paste the free Model Governance Rider into your AI vendor agreements: healthcareaiops.com/standards/procurement-rider/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It is CC BY 4.0 — adapt it freely with your counsel.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The record format and a browser verifier are open: healthcareaiops.com/standards/mgr/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The monitoring evidence it produces also supports the Joint Commission RUAIH monitoring focus area.</w:t>
      </w:r>
    </w:p>
    <w:p>
      <w:pPr>
        <w:spacing w:before="220"/>
      </w:pPr>
      <w:r>
        <w:rPr>
          <w:i/>
          <w:iCs/>
          <w:color w:val="555555"/>
          <w:sz w:val="18"/>
          <w:szCs w:val="18"/>
        </w:rPr>
        <w:t xml:space="preserve">A template and educational aid from The Healthcare AI Institute — independent, no vendor sponsorship. Not legal advice; no attorney-client relationship is created by its use. Adapt with your own counsel.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2026-09-15T18:38:05.328Z</dcterms:created>
  <dcterms:modified xsi:type="dcterms:W3CDTF">2026-09-15T18:38:05.328Z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